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"/>
        <w:gridCol w:w="1135"/>
        <w:gridCol w:w="1160"/>
        <w:gridCol w:w="1775"/>
        <w:gridCol w:w="1233"/>
        <w:gridCol w:w="492"/>
        <w:gridCol w:w="3835"/>
        <w:gridCol w:w="949"/>
        <w:gridCol w:w="987"/>
        <w:gridCol w:w="736"/>
        <w:gridCol w:w="737"/>
        <w:gridCol w:w="7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54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160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2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119" w:type="dxa"/>
            <w:gridSpan w:val="1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湖北美术学院2019年面向社会公开招聘专任教师岗位一览表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招聘单位及人数</w:t>
            </w:r>
          </w:p>
        </w:tc>
        <w:tc>
          <w:tcPr>
            <w:tcW w:w="5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报考资格条件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系（院、部）名称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全日制学位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中国画系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中国画、书法学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1.</w:t>
            </w:r>
            <w:r>
              <w:rPr>
                <w:rStyle w:val="6"/>
                <w:rFonts w:hint="default"/>
              </w:rPr>
              <w:t>年龄不超过40岁</w:t>
            </w:r>
            <w:r>
              <w:rPr>
                <w:rStyle w:val="5"/>
                <w:rFonts w:hint="default"/>
              </w:rPr>
              <w:t>（1979年1月1日后出生）。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2.全日制学位标注为博士：指只限博士研究生。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3.全日制学位标注为博士/硕士：指博士研究生专场招聘后，若有剩余计划指标数，则列入后续硕士研究生招聘工作中。若无剩余指标数，则不开展相应岗位硕士研究生招聘工作。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油画系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油画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版画系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版画、插画艺术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壁画与综合材料绘画系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壁画与综合材料绘画、公共艺术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雕塑系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雕塑、陶瓷艺术设计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视觉传达设计、印刷图形设计、工艺美术、摄影、影视摄影与制作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服装设计系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服装与服饰设计、纤维艺术设计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环境艺术设计系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环境设计、风景园林、建筑学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工业设计系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工业设计、产品设计、展示设计、戏剧影视美术设计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水彩系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水彩画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艺术设计学、美术教育、艺术史论（中外美术史）、艺术管理、艺术教育、文化产业管理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动画学院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视觉艺术基础部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公共课部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外国语（英语）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</w:rPr>
              <w:t>专任教师岗位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>（需承担学生心理咨询工作）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博士/硕士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专任教师岗位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马克思主义基本原理、中国共产党近现代史等相关专业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2123"/>
    <w:rsid w:val="376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2018-12-27T09:20:00Z</dcterms:created>
  <dc:creator>无空</dc:creator>
  <cp:lastModifiedBy>无空</cp:lastModifiedBy>
  <dcterms:modified xsi:type="dcterms:W3CDTF">2018-12-27T09:21:11Z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